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bidi w:val="0"/>
        <w:jc w:val="center"/>
        <w:rPr>
          <w:rFonts w:ascii="PT Astra Serif" w:hAnsi="PT Astra Serif"/>
          <w:b/>
          <w:b/>
          <w:bCs/>
          <w:i w:val="false"/>
          <w:caps w:val="false"/>
          <w:smallCaps w:val="false"/>
          <w:color w:val="333333"/>
          <w:spacing w:val="0"/>
          <w:sz w:val="40"/>
          <w:szCs w:val="40"/>
        </w:rPr>
      </w:pPr>
      <w:r>
        <w:rPr>
          <w:rFonts w:ascii="PT Astra Serif" w:hAnsi="PT Astra Serif"/>
          <w:b/>
          <w:bCs/>
          <w:i w:val="false"/>
          <w:caps w:val="false"/>
          <w:smallCaps w:val="false"/>
          <w:color w:val="333333"/>
          <w:spacing w:val="0"/>
          <w:sz w:val="40"/>
          <w:szCs w:val="40"/>
        </w:rPr>
        <w:t>Пожар в автомобиле</w:t>
      </w:r>
    </w:p>
    <w:p>
      <w:pPr>
        <w:pStyle w:val="Style32"/>
        <w:bidi w:val="0"/>
        <w:rPr>
          <w:rFonts w:ascii="PT Astra Serif" w:hAnsi="PT Astra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32"/>
        <w:bidi w:val="0"/>
        <w:spacing w:lineRule="auto" w:line="240"/>
        <w:ind w:left="0" w:right="0" w:firstLine="624"/>
        <w:jc w:val="both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Транспортные средства являются вторым, после жилья, объектом по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возникновению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пожаров.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Только за прошедший период 2023 года на территории Тайшетского района зарегистрировано 5 возгораний автотранспортных средств. Из них 3 случая произошли по причине </w:t>
      </w:r>
      <w:r>
        <w:rPr>
          <w:rFonts w:cs="Tinos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нарушения правил устройства и эксплуатации электропроводки и 2 случая о причине неисправности систем, механизмов и узлов транспортного средства.</w:t>
      </w:r>
    </w:p>
    <w:p>
      <w:pPr>
        <w:pStyle w:val="Style32"/>
        <w:bidi w:val="0"/>
        <w:spacing w:lineRule="auto" w:line="240"/>
        <w:ind w:left="0" w:right="0" w:firstLine="624"/>
        <w:jc w:val="both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Статистика показывает, что от пожара не защищен даже полностью исправный автомобиль.</w:t>
        <w:br/>
      </w:r>
      <w:r>
        <w:rPr>
          <w:rStyle w:val="Style22"/>
          <w:rFonts w:ascii="PT Astra Serif" w:hAnsi="PT Astra Serif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 xml:space="preserve">Поэтому, чтобы огонь не уничтожил Ваш автомобиль, </w:t>
      </w:r>
      <w:r>
        <w:rPr>
          <w:rStyle w:val="Style22"/>
          <w:rFonts w:ascii="PT Astra Serif" w:hAnsi="PT Astra Serif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 xml:space="preserve">отдел надзорной деятельности и профилактической работы по Тайшетскому району </w:t>
      </w:r>
      <w:r>
        <w:rPr>
          <w:rStyle w:val="Style22"/>
          <w:rFonts w:ascii="PT Astra Serif" w:hAnsi="PT Astra Serif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single"/>
        </w:rPr>
        <w:t>напоминает необходимые правила пожарной безопасности</w:t>
      </w:r>
      <w:r>
        <w:rPr>
          <w:rStyle w:val="Style22"/>
          <w:rFonts w:ascii="PT Astra Serif" w:hAnsi="PT Astra Serif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:</w:t>
      </w:r>
    </w:p>
    <w:p>
      <w:pPr>
        <w:pStyle w:val="Style32"/>
        <w:bidi w:val="0"/>
        <w:spacing w:lineRule="auto" w:line="240"/>
        <w:ind w:left="0" w:right="0" w:firstLine="624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• постоянно следить за техническим состоянием автомобиля;</w:t>
        <w:br/>
        <w:t>• не эксплуатировать электропровода и кабели с видимыми нарушениями изоляции;</w:t>
        <w:br/>
        <w:t>• пользоваться услугами квалифицированных автоэлектриков, не устанавливать самостоятельно не предусмотренные заводом дополнительные электроприборы (устройства автозапуска, охранные сигнализации и т.п.);</w:t>
        <w:br/>
        <w:t>• немедленно устранять неисправность автомобиля в случае обнаружений подтекания горюче-смазочных материалов (ГСМ);</w:t>
        <w:br/>
        <w:t>• приобретая огнетушитель следует проверять наличие сертификата и паспорта, огнетушитель должен быть предназначен для тушения твердых горючих веществ и горючих жидкостей (класс пожара А и В);</w:t>
        <w:br/>
        <w:t>• следите, чтобы не было утечки бензина: сигарета или даже маленький камешек способный вызвать трение, могут стать причиной пожара;</w:t>
        <w:br/>
        <w:t>• проводите своевременный ремонт электрооборудования и топливной системы своего автомобиля на станциях ТО. Для своевременной и успешной ликвидации возможного возгорания автомобиля оборудуйте его первичными средствами пожаротушения.</w:t>
      </w:r>
    </w:p>
    <w:p>
      <w:pPr>
        <w:pStyle w:val="Style32"/>
        <w:bidi w:val="0"/>
        <w:spacing w:lineRule="auto" w:line="240"/>
        <w:ind w:left="0" w:right="0" w:firstLine="624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28575</wp:posOffset>
            </wp:positionH>
            <wp:positionV relativeFrom="paragraph">
              <wp:posOffset>635</wp:posOffset>
            </wp:positionV>
            <wp:extent cx="2365375" cy="17729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22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З</w:t>
      </w:r>
      <w:r>
        <w:rPr>
          <w:rStyle w:val="Style22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апрещается: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• заряжать аккумуляторы непосредственно на транспортных средствах;</w:t>
        <w:br/>
        <w:t>• использовать для подогрева автомобиля открытый огонь (костры, факелы, паяльные лампы) и самодельные котлы подогрева;</w:t>
        <w:br/>
        <w:t>• пользоваться открытым источником огня для освещения автомобиля и гаража;</w:t>
        <w:br/>
        <w:t>• в гаражах индивидуального пользования: хранить мебель, предметы домашнего обихода из горючих материалов, запас топлива более 20 литров и масла более 5 литров;</w:t>
        <w:br/>
        <w:t>• оставлять без присмотра включенные в сеть электроподогреватели;</w:t>
        <w:br/>
        <w:t>• производить самостоятельный ремонт газовой и топливной аппаратуры автомобиля;</w:t>
        <w:br/>
        <w:t>• производить кузнечные, термические, сварочные, малярные и деревоотделочные работы, а также промывку деталей с использованием легковоспламеняющихся и горючих жидкостей.</w:t>
      </w:r>
    </w:p>
    <w:p>
      <w:pPr>
        <w:pStyle w:val="Style32"/>
        <w:bidi w:val="0"/>
        <w:spacing w:lineRule="auto" w:line="240"/>
        <w:ind w:left="0" w:right="0" w:firstLine="624"/>
        <w:jc w:val="both"/>
        <w:rPr/>
      </w:pPr>
      <w:r>
        <w:rPr>
          <w:rStyle w:val="Style22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Если автомобиль загорелся, то:</w:t>
      </w:r>
      <w:r>
        <w:rPr>
          <w:rStyle w:val="Style22"/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 xml:space="preserve"> </w:t>
      </w:r>
    </w:p>
    <w:p>
      <w:pPr>
        <w:pStyle w:val="Style32"/>
        <w:bidi w:val="0"/>
        <w:spacing w:lineRule="auto" w:line="240"/>
        <w:ind w:left="0" w:right="0" w:firstLine="624"/>
        <w:jc w:val="both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•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остановите автомобиль и выключите двигатель. Огонь в автомобиле зарождается почти всегда под капотом мотора из-за разрыва трубопровода, подающего бензин, либо в результате загорания в карбюраторе или газовом баллоне. Первое, что необходимо сделать это разъединить контакты, вытащив ключ из замка зажигания;</w:t>
        <w:br/>
        <w:t>• поставьте машину на тормоз и блокируйте колеса (неустойчивое положение может усугубить инцидент);</w:t>
        <w:br/>
        <w:t>• если есть раненые, их необходимо отнести в безопасное место;</w:t>
        <w:br/>
        <w:t>•вызовите скорую помощь, пожарных, полицию;</w:t>
        <w:br/>
        <w:t>•выставите сигналы на дорогу;</w:t>
        <w:br/>
        <w:t>• если огонь охватил заднюю часть машины, где находится бензобак, единственное, что остается сделать — это быстро удалиться от машины;</w:t>
        <w:br/>
        <w:t>• если пожар охватил салон автомобиля, знайте: опасность велика, огонь быстро распространяется по обивке, состоящей из ткани, пластика и синтетических волокон.</w:t>
      </w:r>
    </w:p>
    <w:p>
      <w:pPr>
        <w:pStyle w:val="Style32"/>
        <w:bidi w:val="0"/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39"/>
        <w:bidi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39"/>
        <w:bidi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39"/>
        <w:bidi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Отдел надзорной деятельности </w:t>
      </w:r>
    </w:p>
    <w:p>
      <w:pPr>
        <w:pStyle w:val="Style39"/>
        <w:bidi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и профилактической работы</w:t>
      </w:r>
    </w:p>
    <w:p>
      <w:pPr>
        <w:pStyle w:val="Style39"/>
        <w:bidi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по Тайшетскому району</w:t>
      </w:r>
    </w:p>
    <w:sectPr>
      <w:headerReference w:type="default" r:id="rId3"/>
      <w:footerReference w:type="default" r:id="rId4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LibreOffice/6.4.7.2$Linux_X86_64 LibreOffice_project/72d9d5113b23a0ed474720f9d366fcde9a2744dd</Application>
  <Pages>2</Pages>
  <Words>445</Words>
  <Characters>3040</Characters>
  <CharactersWithSpaces>3470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2023-04-05T14:42:26Z</dcterms:created>
  <dc:creator/>
  <dc:description/>
  <dc:language>ru-RU</dc:language>
  <cp:lastModifiedBy/>
  <dcterms:modified xsi:type="dcterms:W3CDTF">2023-04-05T15:08:51Z</dcterms:modified>
  <cp:revision>2</cp:revision>
  <dc:subject/>
  <dc:title>Default</dc:title>
</cp:coreProperties>
</file>